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9D24" w14:textId="77777777" w:rsidR="00B33397" w:rsidRPr="000E599A" w:rsidRDefault="00B33397" w:rsidP="00B33397">
      <w:r w:rsidRPr="000E599A">
        <w:t xml:space="preserve">Geachte </w:t>
      </w:r>
      <w:r w:rsidRPr="00A01B66">
        <w:rPr>
          <w:b/>
          <w:bCs/>
        </w:rPr>
        <w:t>[…]</w:t>
      </w:r>
      <w:r w:rsidRPr="000E599A">
        <w:t>,</w:t>
      </w:r>
    </w:p>
    <w:p w14:paraId="0DA2485F" w14:textId="77777777" w:rsidR="00B33397" w:rsidRDefault="00B33397" w:rsidP="00B33397"/>
    <w:p w14:paraId="25BF1345" w14:textId="77777777" w:rsidR="00B33397" w:rsidRDefault="00B33397" w:rsidP="00B33397">
      <w:r w:rsidRPr="000E599A">
        <w:t>Hierbij verzoek i</w:t>
      </w:r>
      <w:r>
        <w:t>k</w:t>
      </w:r>
      <w:r w:rsidRPr="000E599A">
        <w:t xml:space="preserve"> u conform artikel </w:t>
      </w:r>
      <w:r>
        <w:t xml:space="preserve">7.3, lid 1, </w:t>
      </w:r>
      <w:r w:rsidRPr="000E599A">
        <w:t xml:space="preserve">van de </w:t>
      </w:r>
      <w:r w:rsidRPr="0066767F">
        <w:rPr>
          <w:highlight w:val="yellow"/>
        </w:rPr>
        <w:t>Archiefwet 20xx</w:t>
      </w:r>
      <w:r w:rsidRPr="000E599A">
        <w:t xml:space="preserve"> </w:t>
      </w:r>
      <w:r>
        <w:t xml:space="preserve">te willen adviseren </w:t>
      </w:r>
      <w:r w:rsidRPr="000E599A">
        <w:t xml:space="preserve">over de </w:t>
      </w:r>
      <w:r>
        <w:t xml:space="preserve">documenten, die ik voornemens ben </w:t>
      </w:r>
      <w:r w:rsidRPr="000E599A">
        <w:t xml:space="preserve">binnenkort </w:t>
      </w:r>
      <w:r>
        <w:t xml:space="preserve">formeel </w:t>
      </w:r>
      <w:r w:rsidRPr="000E599A">
        <w:t xml:space="preserve">over te brengen naar </w:t>
      </w:r>
      <w:r w:rsidRPr="00A01B66">
        <w:rPr>
          <w:b/>
          <w:bCs/>
        </w:rPr>
        <w:t>[…]</w:t>
      </w:r>
      <w:r w:rsidRPr="000E599A">
        <w:t xml:space="preserve">.  </w:t>
      </w:r>
    </w:p>
    <w:p w14:paraId="2E52FEBB" w14:textId="77777777" w:rsidR="00B33397" w:rsidRPr="000E599A" w:rsidRDefault="00B33397" w:rsidP="00B33397"/>
    <w:p w14:paraId="41031C68" w14:textId="77777777" w:rsidR="00B33397" w:rsidRPr="006F0BD7" w:rsidRDefault="00B33397" w:rsidP="00B33397">
      <w:pPr>
        <w:rPr>
          <w:b/>
          <w:bCs/>
        </w:rPr>
      </w:pPr>
      <w:r w:rsidRPr="006F0BD7">
        <w:rPr>
          <w:b/>
          <w:bCs/>
        </w:rPr>
        <w:t xml:space="preserve">[naam archiefblok, periode en verantwoordelijk overheidsorgaan] </w:t>
      </w:r>
    </w:p>
    <w:p w14:paraId="2F659EC5" w14:textId="77777777" w:rsidR="00B33397" w:rsidRDefault="00B33397" w:rsidP="00B33397"/>
    <w:p w14:paraId="6888AF00" w14:textId="77777777" w:rsidR="00B33397" w:rsidRPr="000E599A" w:rsidRDefault="00B33397" w:rsidP="00B33397">
      <w:r w:rsidRPr="000E599A">
        <w:t xml:space="preserve">In de bijlage treft u </w:t>
      </w:r>
      <w:r>
        <w:rPr>
          <w:b/>
          <w:bCs/>
        </w:rPr>
        <w:t>[</w:t>
      </w:r>
      <w:r w:rsidRPr="00A329E7">
        <w:rPr>
          <w:b/>
          <w:bCs/>
          <w:iCs/>
        </w:rPr>
        <w:t>een/de</w:t>
      </w:r>
      <w:r>
        <w:rPr>
          <w:b/>
          <w:bCs/>
          <w:iCs/>
        </w:rPr>
        <w:t>]</w:t>
      </w:r>
      <w:r w:rsidRPr="00A329E7">
        <w:rPr>
          <w:b/>
          <w:bCs/>
          <w:iCs/>
        </w:rPr>
        <w:t xml:space="preserve"> </w:t>
      </w:r>
      <w:r w:rsidRPr="00A329E7">
        <w:rPr>
          <w:iCs/>
        </w:rPr>
        <w:t>concept</w:t>
      </w:r>
      <w:r>
        <w:rPr>
          <w:b/>
          <w:bCs/>
          <w:iCs/>
        </w:rPr>
        <w:t>(</w:t>
      </w:r>
      <w:r w:rsidRPr="00A329E7">
        <w:rPr>
          <w:b/>
          <w:bCs/>
          <w:iCs/>
        </w:rPr>
        <w:t>en</w:t>
      </w:r>
      <w:r>
        <w:rPr>
          <w:b/>
          <w:bCs/>
          <w:iCs/>
        </w:rPr>
        <w:t>)</w:t>
      </w:r>
      <w:r w:rsidRPr="00A329E7">
        <w:rPr>
          <w:b/>
          <w:bCs/>
          <w:iCs/>
        </w:rPr>
        <w:t xml:space="preserve"> </w:t>
      </w:r>
      <w:r>
        <w:t>V</w:t>
      </w:r>
      <w:r w:rsidRPr="000E599A">
        <w:t xml:space="preserve">erklaring van </w:t>
      </w:r>
      <w:r>
        <w:t>o</w:t>
      </w:r>
      <w:r w:rsidRPr="000E599A">
        <w:t xml:space="preserve">verbrenging en </w:t>
      </w:r>
      <w:r>
        <w:rPr>
          <w:b/>
          <w:bCs/>
        </w:rPr>
        <w:t>[</w:t>
      </w:r>
      <w:r w:rsidRPr="00A329E7">
        <w:rPr>
          <w:b/>
          <w:bCs/>
          <w:iCs/>
        </w:rPr>
        <w:t>een/de</w:t>
      </w:r>
      <w:r>
        <w:rPr>
          <w:b/>
          <w:bCs/>
          <w:iCs/>
        </w:rPr>
        <w:t>]</w:t>
      </w:r>
      <w:r w:rsidRPr="00A329E7">
        <w:rPr>
          <w:b/>
          <w:bCs/>
          <w:iCs/>
        </w:rPr>
        <w:t xml:space="preserve"> </w:t>
      </w:r>
      <w:r w:rsidRPr="00A329E7">
        <w:rPr>
          <w:iCs/>
        </w:rPr>
        <w:t>concept</w:t>
      </w:r>
      <w:r>
        <w:rPr>
          <w:b/>
          <w:bCs/>
          <w:iCs/>
        </w:rPr>
        <w:t>(</w:t>
      </w:r>
      <w:r w:rsidRPr="00A329E7">
        <w:rPr>
          <w:b/>
          <w:bCs/>
          <w:iCs/>
        </w:rPr>
        <w:t>en</w:t>
      </w:r>
      <w:r>
        <w:rPr>
          <w:b/>
          <w:bCs/>
          <w:iCs/>
        </w:rPr>
        <w:t>)</w:t>
      </w:r>
      <w:r w:rsidRPr="00A329E7">
        <w:rPr>
          <w:b/>
          <w:bCs/>
          <w:iCs/>
        </w:rPr>
        <w:t xml:space="preserve"> </w:t>
      </w:r>
      <w:r w:rsidRPr="000E599A">
        <w:t xml:space="preserve">Besluit </w:t>
      </w:r>
      <w:r>
        <w:t>b</w:t>
      </w:r>
      <w:r w:rsidRPr="000E599A">
        <w:t xml:space="preserve">eperking </w:t>
      </w:r>
      <w:r>
        <w:t>o</w:t>
      </w:r>
      <w:r w:rsidRPr="000E599A">
        <w:t>penbaarheid</w:t>
      </w:r>
      <w:r>
        <w:t xml:space="preserve"> (BBO)</w:t>
      </w:r>
      <w:r w:rsidRPr="000E599A">
        <w:t xml:space="preserve"> aangaande </w:t>
      </w:r>
      <w:r w:rsidRPr="00A329E7">
        <w:rPr>
          <w:b/>
          <w:bCs/>
        </w:rPr>
        <w:t>[het/de]</w:t>
      </w:r>
      <w:r w:rsidRPr="000E599A">
        <w:t xml:space="preserve"> bovenstaande </w:t>
      </w:r>
      <w:r w:rsidRPr="00A329E7">
        <w:rPr>
          <w:iCs/>
        </w:rPr>
        <w:t>archiefblok</w:t>
      </w:r>
      <w:r w:rsidRPr="00A329E7">
        <w:rPr>
          <w:b/>
          <w:bCs/>
          <w:iCs/>
        </w:rPr>
        <w:t>[ken]</w:t>
      </w:r>
      <w:r w:rsidRPr="000E599A">
        <w:rPr>
          <w:i/>
        </w:rPr>
        <w:t xml:space="preserve"> </w:t>
      </w:r>
      <w:r w:rsidRPr="000E599A">
        <w:t>aan</w:t>
      </w:r>
      <w:r w:rsidRPr="000E599A">
        <w:rPr>
          <w:i/>
        </w:rPr>
        <w:t xml:space="preserve">. </w:t>
      </w:r>
      <w:r w:rsidRPr="000E599A">
        <w:t>De concepten zijn opgesteld aan de hand van de door u</w:t>
      </w:r>
      <w:r>
        <w:t xml:space="preserve"> gehanteerde</w:t>
      </w:r>
      <w:r w:rsidRPr="000E599A">
        <w:t xml:space="preserve"> </w:t>
      </w:r>
      <w:r>
        <w:t>voorbeeldmodellen en geven per inventarisnummer de voorgenomen beperkingsgrond</w:t>
      </w:r>
      <w:r>
        <w:rPr>
          <w:b/>
          <w:bCs/>
          <w:iCs/>
        </w:rPr>
        <w:t>(</w:t>
      </w:r>
      <w:r w:rsidRPr="00A329E7">
        <w:rPr>
          <w:b/>
          <w:bCs/>
          <w:iCs/>
        </w:rPr>
        <w:t>en</w:t>
      </w:r>
      <w:r>
        <w:rPr>
          <w:b/>
          <w:bCs/>
          <w:iCs/>
        </w:rPr>
        <w:t>)</w:t>
      </w:r>
      <w:r>
        <w:t>, termijn</w:t>
      </w:r>
      <w:r>
        <w:rPr>
          <w:b/>
          <w:bCs/>
          <w:iCs/>
        </w:rPr>
        <w:t>(</w:t>
      </w:r>
      <w:r w:rsidRPr="00A329E7">
        <w:rPr>
          <w:b/>
          <w:bCs/>
          <w:iCs/>
        </w:rPr>
        <w:t>en</w:t>
      </w:r>
      <w:r>
        <w:rPr>
          <w:b/>
          <w:bCs/>
          <w:iCs/>
        </w:rPr>
        <w:t xml:space="preserve">) </w:t>
      </w:r>
      <w:r w:rsidRPr="005906A8">
        <w:rPr>
          <w:iCs/>
        </w:rPr>
        <w:t>en</w:t>
      </w:r>
      <w:r w:rsidRPr="005906A8">
        <w:t xml:space="preserve"> </w:t>
      </w:r>
      <w:r>
        <w:t xml:space="preserve">de daarbij behorende motivering aan. </w:t>
      </w:r>
    </w:p>
    <w:p w14:paraId="5EAE7F1F" w14:textId="77777777" w:rsidR="00B33397" w:rsidRPr="000E599A" w:rsidRDefault="00B33397" w:rsidP="00B33397"/>
    <w:p w14:paraId="674FA638" w14:textId="77777777" w:rsidR="00B33397" w:rsidRPr="006F0BD7" w:rsidRDefault="00B33397" w:rsidP="00B33397">
      <w:pPr>
        <w:rPr>
          <w:b/>
          <w:bCs/>
        </w:rPr>
      </w:pPr>
      <w:r w:rsidRPr="006F0BD7">
        <w:rPr>
          <w:b/>
          <w:bCs/>
        </w:rPr>
        <w:t>Toelichting</w:t>
      </w:r>
    </w:p>
    <w:p w14:paraId="75A8AA00" w14:textId="77777777" w:rsidR="00B33397" w:rsidRDefault="00B33397" w:rsidP="00B33397">
      <w:r>
        <w:t>In het concept BBO treft u per inventarisnummer de motivering van de beperkingsgronden aan. U kunt daarin zien hoe ik het belang van de openbaarheid van de informatie in de documenten heb afgewogen tegen het te beschermen belang van de informatie in de documenten.</w:t>
      </w:r>
    </w:p>
    <w:p w14:paraId="628EC546" w14:textId="77777777" w:rsidR="00B33397" w:rsidRDefault="00B33397" w:rsidP="00B33397"/>
    <w:p w14:paraId="1A32F143" w14:textId="77777777" w:rsidR="00B33397" w:rsidRPr="006F0BD7" w:rsidRDefault="00B33397" w:rsidP="00B33397">
      <w:pPr>
        <w:rPr>
          <w:b/>
          <w:bCs/>
        </w:rPr>
      </w:pPr>
      <w:r w:rsidRPr="006F0BD7">
        <w:rPr>
          <w:b/>
          <w:bCs/>
        </w:rPr>
        <w:t>[Ik heb geen aanvullende informatie over de gestelde beperkingsgronden.]</w:t>
      </w:r>
    </w:p>
    <w:p w14:paraId="2F5E6138" w14:textId="77777777" w:rsidR="00B33397" w:rsidRPr="00B11A1F" w:rsidRDefault="00B33397" w:rsidP="00B33397"/>
    <w:p w14:paraId="52C47EEE" w14:textId="77777777" w:rsidR="00B33397" w:rsidRDefault="00B33397" w:rsidP="00B33397">
      <w:r>
        <w:t>OF</w:t>
      </w:r>
    </w:p>
    <w:p w14:paraId="57464547" w14:textId="77777777" w:rsidR="00B33397" w:rsidRDefault="00B33397" w:rsidP="00B33397"/>
    <w:p w14:paraId="3DDCA64F" w14:textId="77777777" w:rsidR="00B33397" w:rsidRPr="006F0BD7" w:rsidRDefault="00B33397" w:rsidP="00B33397">
      <w:pPr>
        <w:rPr>
          <w:b/>
          <w:bCs/>
        </w:rPr>
      </w:pPr>
      <w:r w:rsidRPr="006F0BD7">
        <w:rPr>
          <w:b/>
          <w:bCs/>
        </w:rPr>
        <w:t xml:space="preserve">[Ik heb een aantal punten waarvan ik u van extra informatie wil voorzien. Voorbeelden van zaken die extra toelichting kunnen vereisen: beperkingsgronden, stapeling van de beperkingsgronden, motivering, auteursrecht, portretrecht, andere bijzonderheden.] </w:t>
      </w:r>
    </w:p>
    <w:p w14:paraId="54E505A8" w14:textId="77777777" w:rsidR="00B33397" w:rsidRPr="000E599A" w:rsidRDefault="00B33397" w:rsidP="00B33397"/>
    <w:p w14:paraId="7116D984" w14:textId="77777777" w:rsidR="00B33397" w:rsidRPr="000E599A" w:rsidRDefault="00B33397" w:rsidP="00B33397">
      <w:r w:rsidRPr="000E599A">
        <w:t>Graag ontvang ik binnen een redelijke termijn uw advies over de voorgestelde openbaarheidsbeperkingen.</w:t>
      </w:r>
    </w:p>
    <w:p w14:paraId="14A394D7" w14:textId="77777777" w:rsidR="00B33397" w:rsidRPr="000E599A" w:rsidRDefault="00B33397" w:rsidP="00B33397"/>
    <w:p w14:paraId="6291C78E" w14:textId="77777777" w:rsidR="00B33397" w:rsidRPr="000E599A" w:rsidRDefault="00B33397" w:rsidP="00B33397">
      <w:r w:rsidRPr="000E599A">
        <w:t>Hoogachtend,</w:t>
      </w:r>
    </w:p>
    <w:p w14:paraId="0DA18F6B" w14:textId="77777777" w:rsidR="00B33397" w:rsidRPr="000E599A" w:rsidRDefault="00B33397" w:rsidP="00B33397"/>
    <w:p w14:paraId="0A07C6E1" w14:textId="77777777" w:rsidR="00B33397" w:rsidRPr="007A5F2D" w:rsidRDefault="00B33397" w:rsidP="00B33397">
      <w:pPr>
        <w:rPr>
          <w:b/>
          <w:bCs/>
        </w:rPr>
      </w:pPr>
      <w:r w:rsidRPr="007A5F2D">
        <w:rPr>
          <w:b/>
          <w:bCs/>
        </w:rPr>
        <w:t>[…]</w:t>
      </w:r>
    </w:p>
    <w:p w14:paraId="390A10DC" w14:textId="3788C177" w:rsidR="00B33397" w:rsidRDefault="00B33397" w:rsidP="00B33397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B33397" w:rsidSect="00B33397">
      <w:footerReference w:type="default" r:id="rId6"/>
      <w:pgSz w:w="11906" w:h="16838"/>
      <w:pgMar w:top="1417" w:right="1417" w:bottom="1417" w:left="1417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8947" w14:textId="77777777" w:rsidR="00B33397" w:rsidRDefault="00B33397" w:rsidP="00B33397">
      <w:pPr>
        <w:spacing w:line="240" w:lineRule="auto"/>
      </w:pPr>
      <w:r>
        <w:separator/>
      </w:r>
    </w:p>
  </w:endnote>
  <w:endnote w:type="continuationSeparator" w:id="0">
    <w:p w14:paraId="5100BC6A" w14:textId="77777777" w:rsidR="00B33397" w:rsidRDefault="00B33397" w:rsidP="00B33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065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694"/>
    </w:tblGrid>
    <w:tr w:rsidR="0018363C" w:rsidRPr="004A0A9F" w14:paraId="15321401" w14:textId="77777777" w:rsidTr="00F57CF1">
      <w:tc>
        <w:tcPr>
          <w:tcW w:w="7371" w:type="dxa"/>
        </w:tcPr>
        <w:p w14:paraId="7758C842" w14:textId="36200880" w:rsidR="00B33397" w:rsidRDefault="00B33397" w:rsidP="00B33397">
          <w:pPr>
            <w:pStyle w:val="Voettekst"/>
            <w:rPr>
              <w:b/>
              <w:bCs/>
            </w:rPr>
          </w:pPr>
          <w:r w:rsidRPr="00B25D6D">
            <w:rPr>
              <w:b/>
              <w:bCs/>
            </w:rPr>
            <w:t xml:space="preserve">Sjabloon </w:t>
          </w:r>
          <w:r>
            <w:rPr>
              <w:b/>
              <w:bCs/>
            </w:rPr>
            <w:t>Adviesaanvraag</w:t>
          </w:r>
        </w:p>
        <w:p w14:paraId="24077674" w14:textId="77777777" w:rsidR="00B33397" w:rsidRDefault="00B33397" w:rsidP="00B33397">
          <w:pPr>
            <w:pStyle w:val="Voettekst"/>
          </w:pPr>
          <w:r>
            <w:t>Nationaal Archief - Januari 2025</w:t>
          </w:r>
        </w:p>
        <w:p w14:paraId="1CF72B14" w14:textId="27CAE055" w:rsidR="00B33397" w:rsidRPr="004068BA" w:rsidRDefault="00B33397" w:rsidP="00B33397">
          <w:pPr>
            <w:pStyle w:val="Voettekst"/>
          </w:pPr>
          <w:hyperlink r:id="rId1" w:history="1">
            <w:r w:rsidRPr="006A1348">
              <w:rPr>
                <w:rStyle w:val="Hyperlink"/>
              </w:rPr>
              <w:t>https://www.nationaalarchief.nl/archiveren/kennisbank/openbaarheid</w:t>
            </w:r>
          </w:hyperlink>
        </w:p>
      </w:tc>
      <w:tc>
        <w:tcPr>
          <w:tcW w:w="2694" w:type="dxa"/>
        </w:tcPr>
        <w:p w14:paraId="513C666C" w14:textId="77777777" w:rsidR="00B33397" w:rsidRPr="004A0A9F" w:rsidRDefault="00B33397" w:rsidP="0018363C">
          <w:pPr>
            <w:pStyle w:val="Voettekst"/>
            <w:jc w:val="right"/>
            <w:rPr>
              <w:lang w:val="en-US"/>
            </w:rPr>
          </w:pPr>
          <w:r w:rsidRPr="0040593F">
            <w:rPr>
              <w:lang w:val="en-US"/>
            </w:rPr>
            <w:fldChar w:fldCharType="begin"/>
          </w:r>
          <w:r w:rsidRPr="0040593F">
            <w:rPr>
              <w:lang w:val="en-US"/>
            </w:rPr>
            <w:instrText>PAGE   \* MERGEFORMAT</w:instrText>
          </w:r>
          <w:r w:rsidRPr="0040593F">
            <w:rPr>
              <w:lang w:val="en-US"/>
            </w:rPr>
            <w:fldChar w:fldCharType="separate"/>
          </w:r>
          <w:r w:rsidRPr="0040593F">
            <w:t>1</w:t>
          </w:r>
          <w:r w:rsidRPr="0040593F">
            <w:rPr>
              <w:lang w:val="en-US"/>
            </w:rPr>
            <w:fldChar w:fldCharType="end"/>
          </w:r>
        </w:p>
      </w:tc>
    </w:tr>
  </w:tbl>
  <w:p w14:paraId="3D362AE1" w14:textId="77777777" w:rsidR="00B33397" w:rsidRDefault="00B333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2FD4" w14:textId="77777777" w:rsidR="00B33397" w:rsidRDefault="00B33397" w:rsidP="00B33397">
      <w:pPr>
        <w:spacing w:line="240" w:lineRule="auto"/>
      </w:pPr>
      <w:r>
        <w:separator/>
      </w:r>
    </w:p>
  </w:footnote>
  <w:footnote w:type="continuationSeparator" w:id="0">
    <w:p w14:paraId="467ACEE8" w14:textId="77777777" w:rsidR="00B33397" w:rsidRDefault="00B33397" w:rsidP="00B333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97"/>
    <w:rsid w:val="001C7D06"/>
    <w:rsid w:val="004006BC"/>
    <w:rsid w:val="00B15618"/>
    <w:rsid w:val="00B33397"/>
    <w:rsid w:val="00C74249"/>
    <w:rsid w:val="00E814CD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53F72B"/>
  <w15:chartTrackingRefBased/>
  <w15:docId w15:val="{B090DEB2-08D6-42CD-B2DE-8C23F180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3397"/>
    <w:pPr>
      <w:spacing w:after="0" w:line="240" w:lineRule="atLeast"/>
    </w:pPr>
    <w:rPr>
      <w:rFonts w:ascii="Verdana" w:eastAsia="Times New Roman" w:hAnsi="Verdana" w:cs="Times New Roman"/>
      <w:kern w:val="0"/>
      <w:sz w:val="20"/>
      <w:szCs w:val="2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33397"/>
    <w:pPr>
      <w:keepNext/>
      <w:keepLines/>
      <w:spacing w:before="240"/>
      <w:outlineLvl w:val="0"/>
    </w:pPr>
    <w:rPr>
      <w:rFonts w:eastAsiaTheme="minorHAnsi" w:cstheme="minorBidi"/>
      <w:b/>
      <w:bCs/>
      <w:kern w:val="2"/>
      <w:sz w:val="28"/>
      <w:szCs w:val="28"/>
      <w14:ligatures w14:val="standardContextual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B33397"/>
    <w:pPr>
      <w:outlineLvl w:val="1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3397"/>
    <w:rPr>
      <w:rFonts w:ascii="Verdana" w:hAnsi="Verdana"/>
      <w:b/>
      <w:bCs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B33397"/>
    <w:rPr>
      <w:rFonts w:ascii="Verdana" w:hAnsi="Verdana"/>
      <w:b/>
      <w:bCs/>
      <w:sz w:val="20"/>
      <w:szCs w:val="20"/>
      <w:lang w:val="nl-NL"/>
    </w:rPr>
  </w:style>
  <w:style w:type="table" w:styleId="Tabelraster">
    <w:name w:val="Table Grid"/>
    <w:basedOn w:val="Standaardtabel"/>
    <w:uiPriority w:val="39"/>
    <w:rsid w:val="00B33397"/>
    <w:pPr>
      <w:spacing w:after="0" w:line="240" w:lineRule="auto"/>
    </w:pPr>
    <w:rPr>
      <w:rFonts w:ascii="Verdana" w:hAnsi="Verdana"/>
      <w:kern w:val="0"/>
      <w:sz w:val="1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33397"/>
    <w:pPr>
      <w:spacing w:after="0" w:line="240" w:lineRule="auto"/>
    </w:pPr>
    <w:rPr>
      <w:rFonts w:ascii="Verdana" w:hAnsi="Verdana"/>
      <w:kern w:val="0"/>
      <w:sz w:val="18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B33397"/>
    <w:pPr>
      <w:widowControl w:val="0"/>
      <w:autoSpaceDE w:val="0"/>
      <w:autoSpaceDN w:val="0"/>
      <w:spacing w:line="240" w:lineRule="auto"/>
    </w:pPr>
    <w:rPr>
      <w:rFonts w:eastAsia="Verdana" w:cs="Verdana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33397"/>
    <w:rPr>
      <w:rFonts w:ascii="Verdana" w:eastAsia="Verdana" w:hAnsi="Verdana" w:cs="Verdana"/>
      <w:kern w:val="0"/>
      <w:sz w:val="20"/>
      <w:szCs w:val="18"/>
      <w:lang w:val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3397"/>
    <w:pPr>
      <w:spacing w:line="240" w:lineRule="auto"/>
      <w:jc w:val="both"/>
    </w:pPr>
    <w:rPr>
      <w:rFonts w:eastAsiaTheme="minorHAnsi" w:cstheme="minorBidi"/>
      <w:i/>
      <w:iCs/>
      <w:kern w:val="2"/>
      <w:sz w:val="22"/>
      <w:szCs w:val="22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3397"/>
    <w:rPr>
      <w:rFonts w:ascii="Verdana" w:hAnsi="Verdana"/>
      <w:i/>
      <w:iCs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33397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3397"/>
    <w:rPr>
      <w:rFonts w:ascii="Verdana" w:eastAsia="Times New Roman" w:hAnsi="Verdana" w:cs="Times New Roman"/>
      <w:kern w:val="0"/>
      <w:sz w:val="20"/>
      <w:szCs w:val="20"/>
      <w:lang w:val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33397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3397"/>
    <w:rPr>
      <w:rFonts w:ascii="Verdana" w:eastAsia="Times New Roman" w:hAnsi="Verdana" w:cs="Times New Roman"/>
      <w:kern w:val="0"/>
      <w:sz w:val="20"/>
      <w:szCs w:val="20"/>
      <w:lang w:val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33397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3339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archiveren/kennisbank/openbaarheid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1180</Characters>
  <Application>Microsoft Office Word</Application>
  <DocSecurity>0</DocSecurity>
  <Lines>9</Lines>
  <Paragraphs>2</Paragraphs>
  <ScaleCrop>false</ScaleCrop>
  <Company>Ministerie van Onderwijs, Cultuur en Wetenschap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Vincent</dc:creator>
  <cp:keywords/>
  <dc:description/>
  <cp:lastModifiedBy>Post, Vincent</cp:lastModifiedBy>
  <cp:revision>1</cp:revision>
  <dcterms:created xsi:type="dcterms:W3CDTF">2025-01-16T15:18:00Z</dcterms:created>
  <dcterms:modified xsi:type="dcterms:W3CDTF">2025-01-16T15:33:00Z</dcterms:modified>
</cp:coreProperties>
</file>